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291</w:t>
      </w:r>
    </w:p>
    <w:p>
      <w:r>
        <w:t>Bundesgericht (BGE), 2016-02-23, FR</w:t>
      </w:r>
    </w:p>
    <w:p>
      <w:r>
        <w:rPr>
          <w:b/>
        </w:rPr>
        <w:t xml:space="preserve">Quelle: </w:t>
      </w:r>
      <w:r>
        <w:t>https://mcp.opencaselaw.ch/entscheid/bge_142 III 291</w:t>
      </w:r>
    </w:p>
    <w:p>
      <w:r>
        <w:t>FR: ATF 142 III 291</w:t>
      </w:r>
    </w:p>
    <w:p>
      <w:r>
        <w:t>IT: DTF 142 III 291</w:t>
      </w:r>
    </w:p>
    <w:p>
      <w:pPr>
        <w:pStyle w:val="Heading2"/>
      </w:pPr>
      <w:r>
        <w:t>Regeste</w:t>
      </w:r>
    </w:p>
    <w:p>
      <w:r>
        <w:t>Regeste Art. 275 SchKG; Vollzug eines Gattungsarrestes. Das Amt hat einen Arrestbefehl, der den formellen Anforderungen nicht offensichtlich widerspricht, insbesondere die zu verarrestierenden Gegenstände nur der Gattung nach bezeichnet, zu vollziehen (E. 5).</w:t>
      </w:r>
    </w:p>
    <w:p>
      <w:pPr>
        <w:pStyle w:val="Heading2"/>
      </w:pPr>
      <w:r>
        <w:t>Erwägungen</w:t>
      </w:r>
    </w:p>
    <w:p>
      <w:r>
        <w:rPr>
          <w:b/>
        </w:rPr>
        <w:t>E. 2</w:t>
      </w:r>
    </w:p>
    <w:p>
      <w:r>
        <w:t>La recourante soutient que la Chambre de surveillance ne pouvait pas examiner la validité de l'ordonnance en tant que celle-là désignait par leur genre les biens à séquestrer. Cette question relevait du juge de l'opposition au séquestre, qui avait, en l'espèce, statué définitivement sur ce point le 23 avril 2013 sans que son arrêt ne fasse l'objet d'un recours de la part de l'intimée. En s'écartant des considérations de cette autorité à cet égard, la Chambre de surveillance aurait violé le principe de la force de chose jugée.</w:t>
      </w:r>
    </w:p>
    <w:p>
      <w:r>
        <w:rPr>
          <w:b/>
        </w:rPr>
        <w:t>E. 2.1</w:t>
      </w:r>
    </w:p>
    <w:p>
      <w:r>
        <w:t>Selon la jurisprudence, l'ordonnance de séquestre est rendue sur la base de la seule requête du créancier ( art. 272 LP ). Elle doit être entreprise par la voie de l'opposition ( art. 278 al. 1 LP ), dont le but est de permettre au juge de vérifier le bien-fondé du séquestre après avoir entendu le débiteur. De son côté, l'office des poursuites exécute l'ordonnance de séquestre ( art. 275 LP ). Sa décision doit être entreprise par la voie de la plainte ( art. 17 LP ) auprès de l'autorité de surveillance. Les griefs concernant les conditions de fond du séquestre doivent donc être soulevés dans la procédure d'opposition et ceux concernant l'exécution du séquestre dans la procédure de plainte ( ATF 129 III 203 consid. 2.2 et 2.3 et les références citées; arrêts 5A_947/2012 du 14 mai 2013 consid. 4.1, in SJ 2014 I p. 86; 5A_883/2012 du 18 janvier 2013 consid. 6.1.2, in SJ 2013 I p. 270; 5A_812/2010 du 24 novembre 2011 consid. 3.2.2, in Pra 2012 n° 78 p. 531; 5A_925/2012 du 5 avril 2013 consid. 4.2 et 4.3; 7B.207/2005 du 29 novembre 2005 consid. 2.3.3). Plus singulièrement, les compétences des offices et des autorités de poursuite portent notamment, en vertu du renvoi de l' art. 275 LP , sur les mesures proprement dites d'exécution, soit celles concernant la saisissabilité des biens ( art. 92 ss LP ), l'ordre de la saisie ( art. 95 ss LP ), BGE 142 III 291 S. 294 la sauvegarde des biens saisis ( art. 98 ss LP ) et la procédure de revendication ( art. 106 ss LP ). Elles visent aussi le contrôle de la régularité formelle de l'ordonnance de séquestre (arrêts 5A_947/ 2012 du 14 mai 2013 consid. 4.1, in SJ 2014 I p. 86; 5A_925/2012 du 5 avril 2013 consid. 4.3, in SJ 2013 I p. 463; 5A_883/2012 du 18 janvier 2013 consid. 6.1.2, in SJ 2013 I p. 270). A cet égard, l'office vérifiera que toutes les mentions prescrites par l'art. 274 al. 2 chiffres 1-4 LP figurent dans l'ordonnance ou encore que la désignation des biens y soit suffisamment précise (arrêt 5A_483/2008 du 29 août 2008 consid. 5.3; STOFFEL/CHABLOZ, in Commentaire romand, Poursuite et faillite, 2005, n os 11 et 38 ad art. 275 LP ) pour permettre une exécution sans risque de confusion ou d'équivoque (MICHEL OCHSNER, De quelques aspects de l'exécution des séquestres, in Le séquestre selon la nouvelle LP, 1997, p. 53). Ce pouvoir d'examen entre par définition dans les attributions d'un organe d'exécution qui ne peut donner suite à un ordre lacunaire, imprécis ou entaché d'un défaut qui le rend inopérant, ni exécuter un séquestre nul ( ATF 136 III 379 consid. 3.1; ATF 129 III 203 consid. 2.2 et 2.3; arrêts 5A_883/2012 du 18 janvier 2013 consid. 6.1.2, in SJ 2013 I p. 270 et les références doctrinales; 5A_483/2008 du 29 août 2008 consid. 5.3).</w:t>
      </w:r>
    </w:p>
    <w:p>
      <w:r>
        <w:rPr>
          <w:b/>
        </w:rPr>
        <w:t>E. 2.2</w:t>
      </w:r>
    </w:p>
    <w:p>
      <w:r>
        <w:t>Cela étant, la Chambre de surveillance était compétente pour examiner si la désignation par leur genre des biens était suffisamment précise pour permettre le séquestre des biens du débiteur à concurrence du montant de la créance. (...)</w:t>
      </w:r>
    </w:p>
    <w:p>
      <w:r>
        <w:rPr>
          <w:b/>
        </w:rPr>
        <w:t>E. 5</w:t>
      </w:r>
    </w:p>
    <w:p>
      <w:r>
        <w:t>Invoquant ensuite la violation des art. 272 et 274 al. 2 ch. 4 LP , la recourante soutient que les motifs avancés par l'autorité cantonale sur les difficultés d'exécution du séquestre sont insoutenables, que rien ne s'opposait à une telle exécution, la banque débitrice disposant de "fonds propres liquides" qu'elle peut bloquer "sous forme de liquidités sur compte séparé". Elle affirme en outre qu'il n'y avait pas lieu, dans le cas présent, de s'écarter de la jurisprudence selon laquelle les biens peuvent être désignés selon leur genre et leur désignation exacte être différée jusqu'à la saisie.</w:t>
      </w:r>
    </w:p>
    <w:p>
      <w:r>
        <w:rPr>
          <w:b/>
        </w:rPr>
        <w:t>E. 5.1</w:t>
      </w:r>
    </w:p>
    <w:p>
      <w:r>
        <w:t>La jurisprudence à laquelle se réfère la recourante a été rendue au vu des difficultés pouvant résulter de l'obligation pour le créancier de désigner avec précision les biens à séquestrer lorsque le séquestre doit s'appliquer à un ensemble de biens ou aux avoirs bancaires du débiteur poursuivi (WALTER STOFFEL, Le séquestre, in La BGE 142 III 291 S. 295 LP révisée, 1997, p. 283). Il est ainsi admis qu'un séquestre soit ordonné et exécuté sur des biens désignés par leur genre seulement, à la condition toutefois que l'ordonnance indique leur lieu de situation ou la personne qui les détient ( ATF 130 III 579 consid. 2.2.4; ATF 107 III 33 consid. 5 in initio et les références; ATF 106 III 100 consid. 1; arrêts 5A_402/2008 du 15 décembre 2008 consid. 3.1, in SJ 2009 I p. 301; 7B.207/2005 du 29 novembre 2005 consid. 2.3.4, in Pra 2006 n°45 p. 331; 5A_925/2012 du 5 avril 2013 consid. 4.3). On parle alors de séquestre générique ("Gattungsarrest").</w:t>
      </w:r>
    </w:p>
    <w:p>
      <w:r>
        <w:rPr>
          <w:b/>
        </w:rPr>
        <w:t>E. 5.2</w:t>
      </w:r>
    </w:p>
    <w:p>
      <w:r>
        <w:t>En l'espèce, le séquestre a été ordonné à concurrence de x fr., avec intérêts, sur "tous actifs, avoirs et biens, créances et dépôts, notamment espèces, valeurs, créances (fiduciaires et/ou non fiduciaires) intérêts, papiers-valeurs, titres, comptes courants, créances résultant de financement pour l'achat et la vente de matières premières, d'instruments financiers destinés à couvrir les fluctuations du marché des matières premières, connaissements, métaux précieux et autres objets de valeur, dépôts ou coffres-forts, propriété de la Banque A. SA, auprès de la Banque A. SA". Contrairement à ce que laissent penser les formulations du procès-verbal de séquestre et de "l'avis concernant l'exécution d'un séquestre" (qui était dès lors inutile), il ne s'agit pas d'un "séquestre en mains de tiers" mais d'un séquestre en mains de la débitrice intimée. La désignation des objets à séquestrer est par ailleurs générique. La jurisprudence admet toutefois ce procédé si l'ordonnance indique le lieu de situation des biens ou la personne qui les détient (supra, consid. 5.1). Dans le cas présent, ces points ne font aucun doute. Le séquestre vise, à concurrence de x fr., plus intérêts, l'ensemble des biens dont l'intimée est "propriétaire" "auprès" de son propre établissement. De ce point de vue, l'ordonnance n'apparaît pas manifestement irrégulière. Les arguments de l'autorité cantonale tenant à la difficulté pour l'intimée d'individualiser les objets qui pourraient être séquestrés du fait des particularités des biens qu'elle détient (comptes courants, dépôts collectifs, avoirs en coffres et détenus à titre fiduciaire) ne tiennent à cet égard pas. Certes, l'obligation de spécifier les biens à séquestrer incombe au créancier et celle du débiteur de fournir les informations nécessaires se limite aux biens mentionnés dans l'ordonnance de séquestre (cf. arrêt 5A_615/2014 du 11 décembre 2014 consid. 4.2, in SJ 2015 I p. 133). Toutefois, en cas de séquestre générique, il incombe au débiteur d'indiquer les biens du genre désigné qui lui appartiennent à l'endroit déterminé (OCHSNER, op. cit., p. 59 et 60). Comme le relève par ailleurs la BGE 142 III 291 S. 296 recourante, en matière de séquestre, la désignation exacte des biens peut être différée jusqu'à la saisie ( ATF 106 III 100 consid 2; OCHSNER, Exécution du séquestre, Jdt 2006 II p. 115 et 116). L'ordonnance n'étant pas manifestement irrégulière en la forme, notamment en ce qui concerne la désignation des objets à séquestrer, c'est à juste titre que l'office a prêté son concours à son exécution. Partant, la Chambre de surveillance a erré en admettant la plainte de l'intimée et en annulant le procès-verbal de saisie et l'avis d'exécution.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